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7285ea14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22.01.2025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Matjesový salát s nakládanou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Křečkův 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vývar s játrovými knedlíčky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vepřové maso,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Tradiční Svíčková na smetaně s hovězím masem,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Koprová omáčka, hovězí maso vařené,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Pirátská vepřová směs s Anglickou slaninou, cibulí, feferony a kečupem,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*Králík pečený na slanině,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Pečená vinná klobása,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sušenými tomaty,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curry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Barbecue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hříbkovým přelivem,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7cf6de2f4c9d" /><Relationship Type="http://schemas.openxmlformats.org/officeDocument/2006/relationships/numbering" Target="/word/numbering.xml" Id="R762bf22a20c7437e" /><Relationship Type="http://schemas.openxmlformats.org/officeDocument/2006/relationships/settings" Target="/word/settings.xml" Id="Rb52e64bb43c44f4c" /></Relationships>
</file>